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Литературоведение. Текстология</w:t>
            </w:r>
          </w:p>
          <w:p>
            <w:pPr>
              <w:jc w:val="center"/>
              <w:spacing w:after="0" w:line="240" w:lineRule="auto"/>
              <w:rPr>
                <w:sz w:val="32"/>
                <w:szCs w:val="32"/>
              </w:rPr>
            </w:pPr>
            <w:r>
              <w:rPr>
                <w:rFonts w:ascii="Times New Roman" w:hAnsi="Times New Roman" w:cs="Times New Roman"/>
                <w:color w:val="#000000"/>
                <w:sz w:val="32"/>
                <w:szCs w:val="32"/>
              </w:rPr>
              <w:t> К.М.04.02.01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«Литературоведение. Текстология»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К.М.04.02.01 «Литературоведение. Текстология».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«Литературоведение. Текстология»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К.М.04.02.01 «Литературоведение. Текстология»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1144.1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«Литература»,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НИР)) в области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(получение первичных навыков НИР) филологическая</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психолингвистики</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 -педагогическая)</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Введение в прикладную лингвистику</w:t>
            </w:r>
          </w:p>
          <w:p>
            <w:pPr>
              <w:jc w:val="center"/>
              <w:spacing w:after="0" w:line="240" w:lineRule="auto"/>
              <w:rPr>
                <w:sz w:val="22"/>
                <w:szCs w:val="22"/>
              </w:rPr>
            </w:pPr>
            <w:r>
              <w:rPr>
                <w:rFonts w:ascii="Times New Roman" w:hAnsi="Times New Roman" w:cs="Times New Roman"/>
                <w:color w:val="#000000"/>
                <w:sz w:val="22"/>
                <w:szCs w:val="22"/>
              </w:rPr>
              <w:t> История языка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Синтаксис сложного предложения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Традиции и инновации в преподавании русского языка в школе</w:t>
            </w:r>
          </w:p>
          <w:p>
            <w:pPr>
              <w:jc w:val="center"/>
              <w:spacing w:after="0" w:line="240" w:lineRule="auto"/>
              <w:rPr>
                <w:sz w:val="22"/>
                <w:szCs w:val="22"/>
              </w:rPr>
            </w:pPr>
            <w:r>
              <w:rPr>
                <w:rFonts w:ascii="Times New Roman" w:hAnsi="Times New Roman" w:cs="Times New Roman"/>
                <w:color w:val="#000000"/>
                <w:sz w:val="22"/>
                <w:szCs w:val="22"/>
              </w:rPr>
              <w:t> Активные процессы в современном русском языке</w:t>
            </w:r>
          </w:p>
          <w:p>
            <w:pPr>
              <w:jc w:val="center"/>
              <w:spacing w:after="0" w:line="240" w:lineRule="auto"/>
              <w:rPr>
                <w:sz w:val="22"/>
                <w:szCs w:val="22"/>
              </w:rPr>
            </w:pPr>
            <w:r>
              <w:rPr>
                <w:rFonts w:ascii="Times New Roman" w:hAnsi="Times New Roman" w:cs="Times New Roman"/>
                <w:color w:val="#000000"/>
                <w:sz w:val="22"/>
                <w:szCs w:val="22"/>
              </w:rPr>
              <w:t> Демонстрационный экзамен</w:t>
            </w:r>
          </w:p>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(вожатская)</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p>
            <w:pPr>
              <w:jc w:val="center"/>
              <w:spacing w:after="0" w:line="240" w:lineRule="auto"/>
              <w:rPr>
                <w:sz w:val="22"/>
                <w:szCs w:val="22"/>
              </w:rPr>
            </w:pPr>
            <w:r>
              <w:rPr>
                <w:rFonts w:ascii="Times New Roman" w:hAnsi="Times New Roman" w:cs="Times New Roman"/>
                <w:color w:val="#000000"/>
                <w:sz w:val="22"/>
                <w:szCs w:val="22"/>
              </w:rPr>
              <w:t> Методология лингвистических исследований по русистике</w:t>
            </w:r>
          </w:p>
          <w:p>
            <w:pPr>
              <w:jc w:val="center"/>
              <w:spacing w:after="0" w:line="240" w:lineRule="auto"/>
              <w:rPr>
                <w:sz w:val="22"/>
                <w:szCs w:val="22"/>
              </w:rPr>
            </w:pPr>
            <w:r>
              <w:rPr>
                <w:rFonts w:ascii="Times New Roman" w:hAnsi="Times New Roman" w:cs="Times New Roman"/>
                <w:color w:val="#000000"/>
                <w:sz w:val="22"/>
                <w:szCs w:val="22"/>
              </w:rPr>
              <w:t> Методология литературоведческих исследований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Текстовая деятельность в разных сферах общения</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5.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pPr>
              <w:jc w:val="both"/>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Поэзия и проза.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художественной речи. Литературный язык и язык художественной литературы. Фигуры поэтического синтаксиса. Тропы.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«Литературоведение. Текстология»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978-5-534-02651-1.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https://urait.ru/bcode/401764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иЛ)(24)_plx_Литературоведение_ Текстология</dc:title>
  <dc:creator>FastReport.NET</dc:creator>
</cp:coreProperties>
</file>